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keepLines w:val="1"/>
        <w:bidi w:val="0"/>
        <w:spacing w:after="160" w:line="480" w:lineRule="auto"/>
        <w:ind w:left="0" w:right="0" w:firstLine="0"/>
        <w:jc w:val="both"/>
        <w:rPr>
          <w:rFonts w:ascii="Times New Roman" w:cs="Times New Roman" w:hAnsi="Times New Roman" w:eastAsia="Times New Roman"/>
          <w:b w:val="1"/>
          <w:bCs w:val="1"/>
          <w:color w:val="000000"/>
          <w:sz w:val="24"/>
          <w:szCs w:val="24"/>
          <w:u w:color="000000"/>
          <w:rtl w:val="0"/>
        </w:rPr>
      </w:pPr>
      <w:r>
        <w:rPr>
          <w:rFonts w:ascii="Times New Roman" w:hAnsi="Times New Roman"/>
          <w:b w:val="1"/>
          <w:bCs w:val="1"/>
          <w:color w:val="000000"/>
          <w:sz w:val="24"/>
          <w:szCs w:val="24"/>
          <w:u w:color="000000"/>
          <w:rtl w:val="0"/>
          <w:lang w:val="en-US"/>
        </w:rPr>
        <w:t>Asset Quality Analysis</w:t>
      </w:r>
    </w:p>
    <w:p>
      <w:pPr>
        <w:pStyle w:val="Body"/>
        <w:bidi w:val="0"/>
        <w:spacing w:after="160" w:line="480" w:lineRule="auto"/>
        <w:ind w:left="0" w:right="0" w:firstLine="72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The asset quality of a bank under the CAMELS system is determined from the risk exposures that a ban has on its assets. These are assets that protect the banks during the period of financial distress. An example is the past unpaid loan or mortgages. Loans make the large share of banks</w:t>
      </w:r>
      <w:r>
        <w:rPr>
          <w:rFonts w:ascii="Times New Roman" w:hAnsi="Times New Roman" w:hint="default"/>
          <w:sz w:val="24"/>
          <w:szCs w:val="24"/>
          <w:u w:color="000000"/>
          <w:rtl w:val="0"/>
          <w:lang w:val="en-US"/>
        </w:rPr>
        <w:t xml:space="preserve">’ </w:t>
      </w:r>
      <w:r>
        <w:rPr>
          <w:rFonts w:ascii="Times New Roman" w:hAnsi="Times New Roman"/>
          <w:sz w:val="24"/>
          <w:szCs w:val="24"/>
          <w:u w:color="000000"/>
          <w:rtl w:val="0"/>
          <w:lang w:val="en-US"/>
        </w:rPr>
        <w:t>assets and failure to pay increases the risk exposures, which affect the overall bank stability. For the last five years, the bank has had increasing average total assets from $1,429,924,750 in 2013 to $1,703,665,750 in the current year (Federal Deposit Insurance Corporation 2018). The growth in average total assets is an indication of an improvement in the quality of assets due to the issue of loans to customers (</w:t>
      </w:r>
      <w:r>
        <w:rPr>
          <w:rFonts w:ascii="Times New Roman" w:hAnsi="Times New Roman"/>
          <w:sz w:val="24"/>
          <w:szCs w:val="24"/>
          <w:u w:color="000000"/>
          <w:shd w:val="clear" w:color="auto" w:fill="ffffff"/>
          <w:rtl w:val="0"/>
          <w:lang w:val="de-DE"/>
        </w:rPr>
        <w:t>Nazir 2010)</w:t>
      </w:r>
      <w:r>
        <w:rPr>
          <w:rFonts w:ascii="Times New Roman" w:hAnsi="Times New Roman"/>
          <w:sz w:val="24"/>
          <w:szCs w:val="24"/>
          <w:u w:color="000000"/>
          <w:rtl w:val="0"/>
          <w:lang w:val="en-US"/>
        </w:rPr>
        <w:t xml:space="preserve">. The net loans and leases as a percentage are the best measure of asset quality for Bank of America. </w:t>
      </w:r>
    </w:p>
    <w:p>
      <w:pPr>
        <w:pStyle w:val="Body"/>
        <w:bidi w:val="0"/>
        <w:spacing w:after="160" w:line="480" w:lineRule="auto"/>
        <w:ind w:left="0" w:right="0" w:firstLine="72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Based on the UBPR report, the bank reported a ratio of 52.22% in 2017, a slight decline from the previous year</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5.86% (Federal Deposit Insurance Corporation 2018). Over the last five years, there has been a consistent decline in the ratio, an indication of a falling asset quality. Additionally, the ratios were less than the peer group, an indication that the bank had a lower performance compared to the industry peers. Since the ratio was more than 50%, Bank of America had relatively quality assets (Federal Deposit Insurance Corporation 2018). The company had a strong ability to manage its loans and leases that form part of the troubled assets. Therefore, using the scale, the asset quality for the bank is at 2, indicating its relatively high asset quality. The figure below reports the ratios that reflect the asset quality for the Bank of America over a period of five years.</w:t>
      </w:r>
    </w:p>
    <w:p>
      <w:pPr>
        <w:pStyle w:val="Body"/>
        <w:bidi w:val="0"/>
        <w:spacing w:after="160" w:line="480" w:lineRule="auto"/>
        <w:ind w:left="0" w:right="0" w:firstLine="0"/>
        <w:jc w:val="both"/>
        <w:rPr>
          <w:rFonts w:ascii="Times New Roman" w:cs="Times New Roman" w:hAnsi="Times New Roman" w:eastAsia="Times New Roman"/>
          <w:sz w:val="24"/>
          <w:szCs w:val="24"/>
          <w:u w:color="000000"/>
          <w:rtl w:val="0"/>
        </w:rPr>
      </w:pPr>
      <w:r>
        <w:drawing>
          <wp:inline distT="0" distB="0" distL="0" distR="0">
            <wp:extent cx="5911668" cy="2580759"/>
            <wp:effectExtent l="0" t="0" r="0" b="0"/>
            <wp:docPr id="1073741825" name="officeArt object"/>
            <wp:cNvGraphicFramePr/>
            <a:graphic xmlns:a="http://schemas.openxmlformats.org/drawingml/2006/main">
              <a:graphicData uri="http://schemas.openxmlformats.org/drawingml/2006/chart">
                <c:chart xmlns:c="http://schemas.openxmlformats.org/drawingml/2006/chart" r:id="rId4"/>
              </a:graphicData>
            </a:graphic>
          </wp:inline>
        </w:drawing>
      </w:r>
    </w:p>
    <w:p>
      <w:pPr>
        <w:pStyle w:val="Body"/>
        <w:bidi w:val="0"/>
        <w:spacing w:after="160" w:line="480" w:lineRule="auto"/>
        <w:ind w:left="0" w:right="0" w:firstLine="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Figure 2: A comparison of Bank of America and peer group</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net leases and loans to average total assets (Source: UBPR report)</w:t>
      </w:r>
    </w:p>
    <w:p>
      <w:pPr>
        <w:pStyle w:val="Heading 2"/>
        <w:keepLines w:val="1"/>
        <w:bidi w:val="0"/>
        <w:spacing w:after="160" w:line="480" w:lineRule="auto"/>
        <w:ind w:left="0" w:right="0" w:firstLine="0"/>
        <w:jc w:val="both"/>
        <w:rPr>
          <w:rFonts w:ascii="Times New Roman" w:cs="Times New Roman" w:hAnsi="Times New Roman" w:eastAsia="Times New Roman"/>
          <w:b w:val="0"/>
          <w:bCs w:val="0"/>
          <w:color w:val="2e74b5"/>
          <w:sz w:val="24"/>
          <w:szCs w:val="24"/>
          <w:u w:color="2e74b5"/>
          <w:rtl w:val="0"/>
        </w:rPr>
      </w:pPr>
    </w:p>
    <w:p>
      <w:pPr>
        <w:pStyle w:val="Body"/>
        <w:bidi w:val="0"/>
        <w:spacing w:after="160" w:line="259" w:lineRule="auto"/>
        <w:ind w:left="0" w:right="0" w:firstLine="0"/>
        <w:jc w:val="left"/>
        <w:rPr>
          <w:rFonts w:ascii="Times New Roman" w:cs="Times New Roman" w:hAnsi="Times New Roman" w:eastAsia="Times New Roman"/>
          <w:sz w:val="24"/>
          <w:szCs w:val="24"/>
          <w:u w:color="000000"/>
          <w:rtl w:val="0"/>
        </w:rPr>
      </w:pPr>
    </w:p>
    <w:p>
      <w:pPr>
        <w:pStyle w:val="Heading 2"/>
        <w:keepLines w:val="1"/>
        <w:bidi w:val="0"/>
        <w:spacing w:after="160" w:line="480" w:lineRule="auto"/>
        <w:ind w:left="0" w:right="0" w:firstLine="0"/>
        <w:jc w:val="both"/>
        <w:rPr>
          <w:rFonts w:ascii="Times New Roman" w:cs="Times New Roman" w:hAnsi="Times New Roman" w:eastAsia="Times New Roman"/>
          <w:b w:val="1"/>
          <w:bCs w:val="1"/>
          <w:color w:val="000000"/>
          <w:sz w:val="24"/>
          <w:szCs w:val="24"/>
          <w:u w:color="000000"/>
          <w:rtl w:val="0"/>
        </w:rPr>
      </w:pPr>
      <w:r>
        <w:rPr>
          <w:rFonts w:ascii="Times New Roman" w:hAnsi="Times New Roman"/>
          <w:b w:val="1"/>
          <w:bCs w:val="1"/>
          <w:color w:val="000000"/>
          <w:sz w:val="24"/>
          <w:szCs w:val="24"/>
          <w:u w:color="000000"/>
          <w:rtl w:val="0"/>
          <w:lang w:val="en-US"/>
        </w:rPr>
        <w:t>Earnings Analysis</w:t>
      </w:r>
    </w:p>
    <w:p>
      <w:pPr>
        <w:pStyle w:val="Body"/>
        <w:bidi w:val="0"/>
        <w:spacing w:after="160" w:line="480" w:lineRule="auto"/>
        <w:ind w:left="0" w:right="0" w:firstLine="72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The analysis of Bank of America</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earnings entails an assessment of the ability to generate sufficient income to the investors. The level and trend of earnings by the bank determine the stability and ability to withstand financial distress (Stempel 2009). Different measures are used to evaluate the earnings of a bank. The net income is the most common approach to the evaluation of a company</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earnings over time. The following table and chart show the bank</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 xml:space="preserve">s net earnings relative to the industry average for the period between 2013 and 2017. </w:t>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3775"/>
        <w:gridCol w:w="1115"/>
        <w:gridCol w:w="1115"/>
        <w:gridCol w:w="1115"/>
        <w:gridCol w:w="1115"/>
        <w:gridCol w:w="1125"/>
      </w:tblGrid>
      <w:tr>
        <w:tblPrEx>
          <w:shd w:val="clear" w:color="auto" w:fill="d0ddef"/>
        </w:tblPrEx>
        <w:trPr>
          <w:trHeight w:val="316" w:hRule="atLeast"/>
        </w:trPr>
        <w:tc>
          <w:tcPr>
            <w:tcW w:type="dxa" w:w="9360"/>
            <w:gridSpan w:val="6"/>
            <w:tcBorders>
              <w:top w:val="single" w:color="4472c4" w:sz="4" w:space="0" w:shadow="0" w:frame="0"/>
              <w:left w:val="single" w:color="4472c4" w:sz="4" w:space="0" w:shadow="0" w:frame="0"/>
              <w:bottom w:val="single" w:color="8eaadb" w:sz="4" w:space="0" w:shadow="0" w:frame="0"/>
              <w:right w:val="single" w:color="4472c4" w:sz="4" w:space="0" w:shadow="0" w:frame="0"/>
            </w:tcBorders>
            <w:shd w:val="clear" w:color="auto" w:fill="4472c4"/>
            <w:tcMar>
              <w:top w:type="dxa" w:w="80"/>
              <w:left w:type="dxa" w:w="80"/>
              <w:bottom w:type="dxa" w:w="80"/>
              <w:right w:type="dxa" w:w="80"/>
            </w:tcMar>
            <w:vAlign w:val="top"/>
          </w:tcPr>
          <w:p>
            <w:pPr>
              <w:pStyle w:val="Body"/>
              <w:bidi w:val="0"/>
              <w:spacing w:after="160" w:line="259" w:lineRule="auto"/>
              <w:ind w:left="0" w:right="0" w:firstLine="0"/>
              <w:jc w:val="center"/>
              <w:rPr>
                <w:rtl w:val="0"/>
              </w:rPr>
            </w:pPr>
            <w:r>
              <w:rPr>
                <w:rFonts w:ascii="Times New Roman" w:hAnsi="Times New Roman"/>
                <w:sz w:val="24"/>
                <w:szCs w:val="24"/>
                <w:u w:color="000000"/>
                <w:rtl w:val="0"/>
                <w:lang w:val="en-US"/>
              </w:rPr>
              <w:t>Net Income</w:t>
            </w:r>
          </w:p>
        </w:tc>
      </w:tr>
      <w:tr>
        <w:tblPrEx>
          <w:shd w:val="clear" w:color="auto" w:fill="d0ddef"/>
        </w:tblPrEx>
        <w:trPr>
          <w:trHeight w:val="306" w:hRule="atLeast"/>
        </w:trPr>
        <w:tc>
          <w:tcPr>
            <w:tcW w:type="dxa" w:w="3775"/>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left"/>
              <w:rPr>
                <w:rtl w:val="0"/>
              </w:rPr>
            </w:pPr>
            <w:r>
              <w:rPr>
                <w:rFonts w:ascii="Times New Roman" w:hAnsi="Times New Roman" w:hint="default"/>
                <w:sz w:val="24"/>
                <w:szCs w:val="24"/>
                <w:u w:color="000000"/>
                <w:rtl w:val="0"/>
                <w:lang w:val="en-US"/>
              </w:rPr>
              <w:t> </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2013</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2014</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2015</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2016</w:t>
            </w:r>
          </w:p>
        </w:tc>
        <w:tc>
          <w:tcPr>
            <w:tcW w:type="dxa" w:w="112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2017</w:t>
            </w:r>
          </w:p>
        </w:tc>
      </w:tr>
      <w:tr>
        <w:tblPrEx>
          <w:shd w:val="clear" w:color="auto" w:fill="d0ddef"/>
        </w:tblPrEx>
        <w:trPr>
          <w:trHeight w:val="306" w:hRule="atLeast"/>
        </w:trPr>
        <w:tc>
          <w:tcPr>
            <w:tcW w:type="dxa" w:w="3775"/>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auto"/>
            <w:tcMar>
              <w:top w:type="dxa" w:w="80"/>
              <w:left w:type="dxa" w:w="80"/>
              <w:bottom w:type="dxa" w:w="80"/>
              <w:right w:type="dxa" w:w="80"/>
            </w:tcMar>
            <w:vAlign w:val="top"/>
          </w:tcPr>
          <w:p>
            <w:pPr>
              <w:pStyle w:val="Body"/>
              <w:bidi w:val="0"/>
              <w:ind w:left="0" w:right="0" w:firstLine="0"/>
              <w:jc w:val="left"/>
              <w:rPr>
                <w:rtl w:val="0"/>
              </w:rPr>
            </w:pPr>
            <w:r>
              <w:rPr>
                <w:rFonts w:ascii="Times New Roman" w:hAnsi="Times New Roman"/>
                <w:sz w:val="24"/>
                <w:szCs w:val="24"/>
                <w:u w:color="000000"/>
                <w:rtl w:val="0"/>
                <w:lang w:val="en-US"/>
              </w:rPr>
              <w:t>Bank of America</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auto"/>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1.16</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auto"/>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1.16</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auto"/>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1.19</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auto"/>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1.19</w:t>
            </w:r>
          </w:p>
        </w:tc>
        <w:tc>
          <w:tcPr>
            <w:tcW w:type="dxa" w:w="112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auto"/>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1.24</w:t>
            </w:r>
          </w:p>
        </w:tc>
      </w:tr>
      <w:tr>
        <w:tblPrEx>
          <w:shd w:val="clear" w:color="auto" w:fill="d0ddef"/>
        </w:tblPrEx>
        <w:trPr>
          <w:trHeight w:val="306" w:hRule="atLeast"/>
        </w:trPr>
        <w:tc>
          <w:tcPr>
            <w:tcW w:type="dxa" w:w="3775"/>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left"/>
              <w:rPr>
                <w:rtl w:val="0"/>
              </w:rPr>
            </w:pPr>
            <w:r>
              <w:rPr>
                <w:rFonts w:ascii="Times New Roman" w:hAnsi="Times New Roman"/>
                <w:sz w:val="24"/>
                <w:szCs w:val="24"/>
                <w:u w:color="000000"/>
                <w:rtl w:val="0"/>
                <w:lang w:val="en-US"/>
              </w:rPr>
              <w:t>Peer Group</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1.02</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0.98</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0.99</w:t>
            </w:r>
          </w:p>
        </w:tc>
        <w:tc>
          <w:tcPr>
            <w:tcW w:type="dxa" w:w="111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1.02</w:t>
            </w:r>
          </w:p>
        </w:tc>
        <w:tc>
          <w:tcPr>
            <w:tcW w:type="dxa" w:w="1124"/>
            <w:tcBorders>
              <w:top w:val="single" w:color="8eaadb" w:sz="4" w:space="0" w:shadow="0" w:frame="0"/>
              <w:left w:val="single" w:color="8eaadb" w:sz="4" w:space="0" w:shadow="0" w:frame="0"/>
              <w:bottom w:val="single" w:color="8eaadb" w:sz="4" w:space="0" w:shadow="0" w:frame="0"/>
              <w:right w:val="single" w:color="8eaadb" w:sz="4" w:space="0" w:shadow="0" w:frame="0"/>
            </w:tcBorders>
            <w:shd w:val="clear" w:color="auto" w:fill="d9e2f3"/>
            <w:tcMar>
              <w:top w:type="dxa" w:w="80"/>
              <w:left w:type="dxa" w:w="80"/>
              <w:bottom w:type="dxa" w:w="80"/>
              <w:right w:type="dxa" w:w="80"/>
            </w:tcMar>
            <w:vAlign w:val="top"/>
          </w:tcPr>
          <w:p>
            <w:pPr>
              <w:pStyle w:val="Body"/>
              <w:bidi w:val="0"/>
              <w:ind w:left="0" w:right="0" w:firstLine="0"/>
              <w:jc w:val="right"/>
              <w:rPr>
                <w:rtl w:val="0"/>
              </w:rPr>
            </w:pPr>
            <w:r>
              <w:rPr>
                <w:rFonts w:ascii="Times New Roman" w:hAnsi="Times New Roman"/>
                <w:sz w:val="24"/>
                <w:szCs w:val="24"/>
                <w:u w:color="000000"/>
                <w:rtl w:val="0"/>
                <w:lang w:val="en-US"/>
              </w:rPr>
              <w:t>1.00</w:t>
            </w:r>
          </w:p>
        </w:tc>
      </w:tr>
    </w:tbl>
    <w:p>
      <w:pPr>
        <w:pStyle w:val="Body"/>
        <w:widowControl w:val="0"/>
        <w:bidi w:val="0"/>
        <w:spacing w:after="160"/>
        <w:ind w:left="0" w:right="0" w:firstLine="0"/>
        <w:jc w:val="both"/>
        <w:rPr>
          <w:rFonts w:ascii="Times New Roman" w:cs="Times New Roman" w:hAnsi="Times New Roman" w:eastAsia="Times New Roman"/>
          <w:sz w:val="24"/>
          <w:szCs w:val="24"/>
          <w:u w:color="000000"/>
          <w:rtl w:val="0"/>
        </w:rPr>
      </w:pPr>
    </w:p>
    <w:p>
      <w:pPr>
        <w:pStyle w:val="Body"/>
        <w:bidi w:val="0"/>
        <w:spacing w:after="160" w:line="480" w:lineRule="auto"/>
        <w:ind w:left="0" w:right="0" w:firstLine="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Table 3: Comparison of Bank of America</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net income to the peer group (Source: UBPR report)</w:t>
      </w:r>
    </w:p>
    <w:p>
      <w:pPr>
        <w:pStyle w:val="Body"/>
        <w:bidi w:val="0"/>
        <w:spacing w:after="160" w:line="480" w:lineRule="auto"/>
        <w:ind w:left="0" w:right="0" w:firstLine="0"/>
        <w:jc w:val="both"/>
        <w:rPr>
          <w:rFonts w:ascii="Times New Roman" w:cs="Times New Roman" w:hAnsi="Times New Roman" w:eastAsia="Times New Roman"/>
          <w:sz w:val="24"/>
          <w:szCs w:val="24"/>
          <w:u w:color="000000"/>
          <w:rtl w:val="0"/>
        </w:rPr>
      </w:pPr>
      <w:r>
        <w:drawing>
          <wp:inline distT="0" distB="0" distL="0" distR="0">
            <wp:extent cx="5763139" cy="2499097"/>
            <wp:effectExtent l="0" t="0" r="0" b="0"/>
            <wp:docPr id="1073741826" name="officeArt object"/>
            <wp:cNvGraphicFramePr/>
            <a:graphic xmlns:a="http://schemas.openxmlformats.org/drawingml/2006/main">
              <a:graphicData uri="http://schemas.openxmlformats.org/drawingml/2006/chart">
                <c:chart xmlns:c="http://schemas.openxmlformats.org/drawingml/2006/chart" r:id="rId5"/>
              </a:graphicData>
            </a:graphic>
          </wp:inline>
        </w:drawing>
      </w:r>
    </w:p>
    <w:p>
      <w:pPr>
        <w:pStyle w:val="Body"/>
        <w:bidi w:val="0"/>
        <w:spacing w:after="160" w:line="480" w:lineRule="auto"/>
        <w:ind w:left="0" w:right="0" w:firstLine="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Figure 3: A comparison of Bank of America</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net income ratio to the peer group for the period between 2013 and 2014 (Source: UBPR report).</w:t>
      </w:r>
    </w:p>
    <w:p>
      <w:pPr>
        <w:pStyle w:val="Body"/>
        <w:bidi w:val="0"/>
        <w:spacing w:after="160" w:line="480" w:lineRule="auto"/>
        <w:ind w:left="0" w:right="0" w:firstLine="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Based on the data, the bank has a higher net income ratio compared to the industry average. Similarly, the ratio has been on a positive trend over the past five years. The high ratio indicates that the bank has high-quality earnings that assure of its stability in times of financial crisis (Bank of America Corporation 2018). The high and increasing net income also implies that the bank generates sufficient funds for its shareholders. Therefore, using a scale of 1 to 5, Bank of America has a high earnings quality measured at 1. </w:t>
      </w:r>
    </w:p>
    <w:p>
      <w:pPr>
        <w:pStyle w:val="Heading 2"/>
        <w:keepLines w:val="1"/>
        <w:bidi w:val="0"/>
        <w:spacing w:after="160" w:line="480" w:lineRule="auto"/>
        <w:ind w:left="0" w:right="0" w:firstLine="0"/>
        <w:jc w:val="both"/>
        <w:rPr>
          <w:rFonts w:ascii="Times New Roman" w:cs="Times New Roman" w:hAnsi="Times New Roman" w:eastAsia="Times New Roman"/>
          <w:b w:val="1"/>
          <w:bCs w:val="1"/>
          <w:color w:val="000000"/>
          <w:sz w:val="24"/>
          <w:szCs w:val="24"/>
          <w:u w:color="000000"/>
          <w:rtl w:val="0"/>
        </w:rPr>
      </w:pPr>
      <w:r>
        <w:rPr>
          <w:rFonts w:ascii="Times New Roman" w:hAnsi="Times New Roman"/>
          <w:b w:val="1"/>
          <w:bCs w:val="1"/>
          <w:color w:val="000000"/>
          <w:sz w:val="24"/>
          <w:szCs w:val="24"/>
          <w:u w:color="000000"/>
          <w:rtl w:val="0"/>
          <w:lang w:val="en-US"/>
        </w:rPr>
        <w:t>Liquidity Analysis</w:t>
      </w:r>
    </w:p>
    <w:p>
      <w:pPr>
        <w:pStyle w:val="Body"/>
        <w:bidi w:val="0"/>
        <w:spacing w:after="160" w:line="480" w:lineRule="auto"/>
        <w:ind w:left="0" w:right="0" w:firstLine="72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The liquidity assesses how fast bank assets can be converted to cash. The ratios reflect the ability of an organization to address its immediate financial needs. According to the UBPR report, the bank</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liquidity is evaluated from the net loans and leases to assets over time. Currently, the bank has a ratio of 52.26% relative to the peer group average ratio of 68.59. In the previous year, the ratio was relatively higher at 52.41 against the industry</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average of 67.94% (Bank of America Corporation 2018). The analysis shows a consistent decline in the ratio, an indication of a falling liquidity position for the bank. The net core fund ratio was also lower than the peer group average over the period. It implies that the bank assets were not sufficiently liquid to address its immediate financial needs (</w:t>
      </w:r>
      <w:r>
        <w:rPr>
          <w:rFonts w:ascii="Times New Roman" w:hAnsi="Times New Roman"/>
          <w:sz w:val="24"/>
          <w:szCs w:val="24"/>
          <w:u w:color="000000"/>
          <w:shd w:val="clear" w:color="auto" w:fill="ffffff"/>
          <w:rtl w:val="0"/>
          <w:lang w:val="de-DE"/>
        </w:rPr>
        <w:t>Dash and Das 2009)</w:t>
      </w:r>
      <w:r>
        <w:rPr>
          <w:rFonts w:ascii="Times New Roman" w:hAnsi="Times New Roman"/>
          <w:sz w:val="24"/>
          <w:szCs w:val="24"/>
          <w:u w:color="000000"/>
          <w:rtl w:val="0"/>
          <w:lang w:val="en-US"/>
        </w:rPr>
        <w:t>. Therefore, it has a lower liquidity rating of 3 under the CAMELS rating system. The bank is likely to be affected during the period of financial crisis and the managers need to adopt appropriate measures that will minimize the negative implications on the company</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 xml:space="preserve">s stability. </w:t>
      </w:r>
    </w:p>
    <w:p>
      <w:pPr>
        <w:pStyle w:val="Heading 2"/>
        <w:keepLines w:val="1"/>
        <w:bidi w:val="0"/>
        <w:spacing w:after="160" w:line="480" w:lineRule="auto"/>
        <w:ind w:left="0" w:right="0" w:firstLine="0"/>
        <w:jc w:val="both"/>
        <w:rPr>
          <w:rFonts w:ascii="Times New Roman" w:cs="Times New Roman" w:hAnsi="Times New Roman" w:eastAsia="Times New Roman"/>
          <w:b w:val="1"/>
          <w:bCs w:val="1"/>
          <w:color w:val="000000"/>
          <w:sz w:val="24"/>
          <w:szCs w:val="24"/>
          <w:u w:color="000000"/>
          <w:rtl w:val="0"/>
        </w:rPr>
      </w:pPr>
      <w:r>
        <w:rPr>
          <w:rFonts w:ascii="Times New Roman" w:hAnsi="Times New Roman"/>
          <w:b w:val="1"/>
          <w:bCs w:val="1"/>
          <w:color w:val="000000"/>
          <w:sz w:val="24"/>
          <w:szCs w:val="24"/>
          <w:u w:color="000000"/>
          <w:rtl w:val="0"/>
          <w:lang w:val="en-US"/>
        </w:rPr>
        <w:t>Sensitivity Analysis</w:t>
      </w:r>
    </w:p>
    <w:p>
      <w:pPr>
        <w:pStyle w:val="Body"/>
        <w:bidi w:val="0"/>
        <w:spacing w:after="160" w:line="480" w:lineRule="auto"/>
        <w:ind w:left="0" w:right="0" w:firstLine="72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 xml:space="preserve">A bank sensitivity is explained by the changes in the net interest margin due to the fluctuations in interest rates, credit, and loan structure stocks. These factors affect the net earnings of a bank, hence its stability. The interest rate and credit risks are the fundamental risks that explain the sensitivity of a bank (Bank of America Corporation 2018). For instance, a high credit risk exposure increases the chances of interest repayment default that affects the interest income over time. Similarly, the fluctuations in interest rates have a significant impact on the net interest margin (Stempel 2009). When there is a decline in the interest rates, the bank reports a lower interest income unlike when the interest rates are high. </w:t>
      </w:r>
    </w:p>
    <w:p>
      <w:pPr>
        <w:pStyle w:val="Body"/>
        <w:bidi w:val="0"/>
        <w:spacing w:after="160" w:line="480" w:lineRule="auto"/>
        <w:ind w:left="0" w:right="0" w:firstLine="720"/>
        <w:jc w:val="both"/>
        <w:rPr>
          <w:rtl w:val="0"/>
        </w:rPr>
      </w:pPr>
      <w:r>
        <w:rPr>
          <w:rFonts w:ascii="Times New Roman" w:hAnsi="Times New Roman"/>
          <w:sz w:val="24"/>
          <w:szCs w:val="24"/>
          <w:u w:color="000000"/>
          <w:rtl w:val="0"/>
          <w:lang w:val="en-US"/>
        </w:rPr>
        <w:t>Additionally, with high-interest rates, there is a decline in the demand for credit, which affects the overall interest margin and profitability. Bank of America diversifies its operations to other services such wealth management, especially after the acquisition of Merrill Lynch. The diversification strategy reduces the bank</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s sensitivity to interest rates and credit risks since it has alternative revenue sources (</w:t>
      </w:r>
      <w:r>
        <w:rPr>
          <w:rFonts w:ascii="Times New Roman" w:hAnsi="Times New Roman"/>
          <w:sz w:val="24"/>
          <w:szCs w:val="24"/>
          <w:u w:color="000000"/>
          <w:shd w:val="clear" w:color="auto" w:fill="ffffff"/>
          <w:rtl w:val="0"/>
          <w:lang w:val="de-DE"/>
        </w:rPr>
        <w:t>Dash and Das 2009)</w:t>
      </w:r>
      <w:r>
        <w:rPr>
          <w:rFonts w:ascii="Times New Roman" w:hAnsi="Times New Roman"/>
          <w:sz w:val="24"/>
          <w:szCs w:val="24"/>
          <w:u w:color="000000"/>
          <w:rtl w:val="0"/>
          <w:lang w:val="en-US"/>
        </w:rPr>
        <w:t>. The large size and extensive global network for the bank also support the low sensitivity of its net interest income to interest rates. Therefore, based on these factors, the Bank of America has a sensitivity rating of 1, which implies that its assets are less sensitive to the changes in interest rates and credit risks.</w:t>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Light">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Sheet1.xlsx"/><Relationship Id="rId2" Type="http://schemas.openxmlformats.org/officeDocument/2006/relationships/image" Target="../media/image1.bmp"/></Relationships>

</file>

<file path=word/charts/_rels/chart2.xml.rels><?xml version="1.0" encoding="UTF-8"?>
<Relationships xmlns="http://schemas.openxmlformats.org/package/2006/relationships"><Relationship Id="rId1"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roundedCorners val="0"/>
  <c:chart>
    <c:title>
      <c:tx>
        <c:rich>
          <a:bodyPr rot="0"/>
          <a:lstStyle/>
          <a:p>
            <a:pPr>
              <a:defRPr b="0" i="0" strike="noStrike" sz="1400" u="none">
                <a:solidFill>
                  <a:srgbClr val="808080"/>
                </a:solidFill>
                <a:latin typeface="Times New Roman"/>
              </a:defRPr>
            </a:pPr>
            <a:r>
              <a:rPr b="0" i="0" strike="noStrike" sz="1400" u="none">
                <a:solidFill>
                  <a:srgbClr val="808080"/>
                </a:solidFill>
                <a:latin typeface="Times New Roman"/>
              </a:rPr>
              <a:t>Net Leases &amp; Loans to Average Total Assets</a:t>
            </a:r>
          </a:p>
        </c:rich>
      </c:tx>
      <c:layout>
        <c:manualLayout>
          <c:xMode val="edge"/>
          <c:yMode val="edge"/>
          <c:x val="0.228977"/>
          <c:y val="0"/>
          <c:w val="0.542046"/>
          <c:h val="0.147117"/>
        </c:manualLayout>
      </c:layout>
      <c:overlay val="1"/>
      <c:spPr>
        <a:noFill/>
        <a:effectLst/>
      </c:spPr>
    </c:title>
    <c:autoTitleDeleted val="1"/>
    <c:plotArea>
      <c:layout>
        <c:manualLayout>
          <c:layoutTarget val="inner"/>
          <c:xMode val="edge"/>
          <c:yMode val="edge"/>
          <c:x val="0.118972"/>
          <c:y val="0.147117"/>
          <c:w val="0.876028"/>
          <c:h val="0.438595"/>
        </c:manualLayout>
      </c:layout>
      <c:barChart>
        <c:barDir val="col"/>
        <c:grouping val="clustered"/>
        <c:varyColors val="0"/>
        <c:ser>
          <c:idx val="0"/>
          <c:order val="0"/>
          <c:tx>
            <c:strRef>
              <c:f>Sheet1!$A$2</c:f>
              <c:strCache>
                <c:ptCount val="1"/>
                <c:pt idx="0">
                  <c:v>Bank of America</c:v>
                </c:pt>
              </c:strCache>
            </c:strRef>
          </c:tx>
          <c:spPr>
            <a:solidFill>
              <a:srgbClr val="70AD47"/>
            </a:solidFill>
            <a:ln w="12700" cap="flat">
              <a:noFill/>
              <a:miter lim="400000"/>
            </a:ln>
            <a:effectLst/>
          </c:spPr>
          <c:invertIfNegative val="0"/>
          <c:dLbls>
            <c:numFmt formatCode="0.##" sourceLinked="0"/>
            <c:txPr>
              <a:bodyPr/>
              <a:lstStyle/>
              <a:p>
                <a:pPr>
                  <a:defRPr b="0" i="0" strike="noStrike" sz="1200" u="none">
                    <a:solidFill>
                      <a:srgbClr val="404040"/>
                    </a:solidFill>
                    <a:latin typeface="Times New Roman"/>
                  </a:defRPr>
                </a:pPr>
              </a:p>
            </c:txPr>
            <c:dLblPos val="outEnd"/>
            <c:showLegendKey val="0"/>
            <c:showVal val="1"/>
            <c:showCatName val="0"/>
            <c:showSerName val="0"/>
            <c:showPercent val="0"/>
            <c:showBubbleSize val="0"/>
            <c:showLeaderLines val="0"/>
          </c:dLbls>
          <c:cat>
            <c:strRef>
              <c:f>Sheet1!$B$1:$F$1</c:f>
              <c:strCache>
                <c:ptCount val="5"/>
                <c:pt idx="0">
                  <c:v>2013</c:v>
                </c:pt>
                <c:pt idx="1">
                  <c:v>2014</c:v>
                </c:pt>
                <c:pt idx="2">
                  <c:v>2015</c:v>
                </c:pt>
                <c:pt idx="3">
                  <c:v>2016</c:v>
                </c:pt>
                <c:pt idx="4">
                  <c:v>2017</c:v>
                </c:pt>
              </c:strCache>
            </c:strRef>
          </c:cat>
          <c:val>
            <c:numRef>
              <c:f>Sheet1!$B$2:$F$2</c:f>
              <c:numCache>
                <c:ptCount val="5"/>
                <c:pt idx="0">
                  <c:v>52.690000</c:v>
                </c:pt>
                <c:pt idx="1">
                  <c:v>52.190000</c:v>
                </c:pt>
                <c:pt idx="2">
                  <c:v>53.020000</c:v>
                </c:pt>
                <c:pt idx="3">
                  <c:v>52.860000</c:v>
                </c:pt>
                <c:pt idx="4">
                  <c:v>52.220000</c:v>
                </c:pt>
              </c:numCache>
            </c:numRef>
          </c:val>
        </c:ser>
        <c:ser>
          <c:idx val="1"/>
          <c:order val="1"/>
          <c:tx>
            <c:strRef>
              <c:f>Sheet1!$A$3</c:f>
              <c:strCache>
                <c:ptCount val="1"/>
                <c:pt idx="0">
                  <c:v>Peer Group</c:v>
                </c:pt>
              </c:strCache>
            </c:strRef>
          </c:tx>
          <c:spPr>
            <a:solidFill>
              <a:srgbClr val="4472C4"/>
            </a:solidFill>
            <a:ln w="12700" cap="flat">
              <a:noFill/>
              <a:miter lim="400000"/>
            </a:ln>
            <a:effectLst/>
          </c:spPr>
          <c:invertIfNegative val="0"/>
          <c:dLbls>
            <c:numFmt formatCode="0.####" sourceLinked="0"/>
            <c:txPr>
              <a:bodyPr/>
              <a:lstStyle/>
              <a:p>
                <a:pPr>
                  <a:defRPr b="0" i="0" strike="noStrike" sz="1200" u="none">
                    <a:solidFill>
                      <a:srgbClr val="404040"/>
                    </a:solidFill>
                    <a:latin typeface="Times New Roman"/>
                  </a:defRPr>
                </a:pPr>
              </a:p>
            </c:txPr>
            <c:dLblPos val="outEnd"/>
            <c:showLegendKey val="0"/>
            <c:showVal val="1"/>
            <c:showCatName val="0"/>
            <c:showSerName val="0"/>
            <c:showPercent val="0"/>
            <c:showBubbleSize val="0"/>
            <c:showLeaderLines val="0"/>
          </c:dLbls>
          <c:cat>
            <c:strRef>
              <c:f>Sheet1!$B$1:$F$1</c:f>
              <c:strCache>
                <c:ptCount val="5"/>
                <c:pt idx="0">
                  <c:v>2013</c:v>
                </c:pt>
                <c:pt idx="1">
                  <c:v>2014</c:v>
                </c:pt>
                <c:pt idx="2">
                  <c:v>2015</c:v>
                </c:pt>
                <c:pt idx="3">
                  <c:v>2016</c:v>
                </c:pt>
                <c:pt idx="4">
                  <c:v>2017</c:v>
                </c:pt>
              </c:strCache>
            </c:strRef>
          </c:cat>
          <c:val>
            <c:numRef>
              <c:f>Sheet1!$B$3:$F$3</c:f>
              <c:numCache>
                <c:ptCount val="5"/>
                <c:pt idx="0">
                  <c:v>62.620000</c:v>
                </c:pt>
                <c:pt idx="1">
                  <c:v>64.000000</c:v>
                </c:pt>
                <c:pt idx="2">
                  <c:v>66.100000</c:v>
                </c:pt>
                <c:pt idx="3">
                  <c:v>67.620000</c:v>
                </c:pt>
                <c:pt idx="4">
                  <c:v>68.060000</c:v>
                </c:pt>
              </c:numCache>
            </c:numRef>
          </c:val>
        </c:ser>
        <c:gapWidth val="75"/>
        <c:overlap val="0"/>
        <c:axId val="2094734552"/>
        <c:axId val="2094734553"/>
      </c:barChart>
      <c:catAx>
        <c:axId val="2094734552"/>
        <c:scaling>
          <c:orientation val="minMax"/>
        </c:scaling>
        <c:delete val="0"/>
        <c:axPos val="b"/>
        <c:title>
          <c:tx>
            <c:rich>
              <a:bodyPr rot="0"/>
              <a:lstStyle/>
              <a:p>
                <a:pPr>
                  <a:defRPr b="0" i="0" strike="noStrike" sz="1200" u="none">
                    <a:solidFill>
                      <a:srgbClr val="595959"/>
                    </a:solidFill>
                    <a:latin typeface="Times New Roman"/>
                  </a:defRPr>
                </a:pPr>
                <a:r>
                  <a:rPr b="0" i="0" strike="noStrike" sz="1200" u="none">
                    <a:solidFill>
                      <a:srgbClr val="595959"/>
                    </a:solidFill>
                    <a:latin typeface="Times New Roman"/>
                  </a:rPr>
                  <a:t>Year</a:t>
                </a:r>
              </a:p>
            </c:rich>
          </c:tx>
          <c:layout/>
          <c:overlay val="1"/>
        </c:title>
        <c:numFmt formatCode="General" sourceLinked="0"/>
        <c:majorTickMark val="none"/>
        <c:minorTickMark val="none"/>
        <c:tickLblPos val="low"/>
        <c:spPr>
          <a:ln w="12700" cap="flat">
            <a:solidFill>
              <a:srgbClr val="D9D9D9"/>
            </a:solidFill>
            <a:prstDash val="solid"/>
            <a:round/>
          </a:ln>
        </c:spPr>
        <c:txPr>
          <a:bodyPr rot="0"/>
          <a:lstStyle/>
          <a:p>
            <a:pPr>
              <a:defRPr b="0" i="0" strike="noStrike" sz="1200" u="none">
                <a:solidFill>
                  <a:srgbClr val="595959"/>
                </a:solidFill>
                <a:latin typeface="Times New Roman"/>
              </a:defRPr>
            </a:pPr>
          </a:p>
        </c:txPr>
        <c:crossAx val="2094734553"/>
        <c:crosses val="autoZero"/>
        <c:auto val="1"/>
        <c:lblAlgn val="ctr"/>
        <c:noMultiLvlLbl val="1"/>
      </c:catAx>
      <c:valAx>
        <c:axId val="2094734553"/>
        <c:scaling>
          <c:orientation val="minMax"/>
        </c:scaling>
        <c:delete val="0"/>
        <c:axPos val="l"/>
        <c:title>
          <c:tx>
            <c:rich>
              <a:bodyPr rot="-5400000"/>
              <a:lstStyle/>
              <a:p>
                <a:pPr>
                  <a:defRPr b="0" i="0" strike="noStrike" sz="1200" u="none">
                    <a:solidFill>
                      <a:srgbClr val="595959"/>
                    </a:solidFill>
                    <a:latin typeface="Times New Roman"/>
                  </a:defRPr>
                </a:pPr>
                <a:r>
                  <a:rPr b="0" i="0" strike="noStrike" sz="1200" u="none">
                    <a:solidFill>
                      <a:srgbClr val="595959"/>
                    </a:solidFill>
                    <a:latin typeface="Times New Roman"/>
                  </a:rPr>
                  <a:t>Ratios</a:t>
                </a:r>
              </a:p>
            </c:rich>
          </c:tx>
          <c:layout/>
          <c:overlay val="1"/>
        </c:title>
        <c:numFmt formatCode="0.####" sourceLinked="0"/>
        <c:majorTickMark val="none"/>
        <c:minorTickMark val="none"/>
        <c:tickLblPos val="nextTo"/>
        <c:spPr>
          <a:ln w="12700" cap="flat">
            <a:noFill/>
            <a:prstDash val="solid"/>
            <a:round/>
          </a:ln>
        </c:spPr>
        <c:txPr>
          <a:bodyPr rot="0"/>
          <a:lstStyle/>
          <a:p>
            <a:pPr>
              <a:defRPr b="0" i="0" strike="noStrike" sz="1200" u="none">
                <a:solidFill>
                  <a:srgbClr val="595959"/>
                </a:solidFill>
                <a:latin typeface="Times New Roman"/>
              </a:defRPr>
            </a:pPr>
          </a:p>
        </c:txPr>
        <c:crossAx val="2094734552"/>
        <c:crosses val="autoZero"/>
        <c:crossBetween val="between"/>
        <c:majorUnit val="17.5"/>
        <c:minorUnit val="8.75"/>
      </c:valAx>
      <c:spPr>
        <a:blipFill rotWithShape="1">
          <a:blip r:embed="rId2"/>
          <a:srcRect l="0" t="0" r="0" b="0"/>
          <a:tile tx="0" ty="0" sx="100000" sy="100000" flip="none" algn="tl"/>
        </a:blipFill>
        <a:ln w="12700" cap="flat">
          <a:noFill/>
          <a:miter lim="400000"/>
        </a:ln>
        <a:effectLst/>
      </c:spPr>
    </c:plotArea>
    <c:legend>
      <c:legendPos val="b"/>
      <c:layout>
        <c:manualLayout>
          <c:xMode val="edge"/>
          <c:yMode val="edge"/>
          <c:x val="0.30009"/>
          <c:y val="0.844886"/>
          <c:w val="0.426272"/>
          <c:h val="0.155114"/>
        </c:manualLayout>
      </c:layout>
      <c:overlay val="1"/>
      <c:spPr>
        <a:noFill/>
        <a:ln w="12700" cap="flat">
          <a:noFill/>
          <a:miter lim="400000"/>
        </a:ln>
        <a:effectLst/>
      </c:spPr>
      <c:txPr>
        <a:bodyPr rot="0"/>
        <a:lstStyle/>
        <a:p>
          <a:pPr>
            <a:defRPr b="0" i="0" strike="noStrike" sz="1200" u="none">
              <a:solidFill>
                <a:srgbClr val="595959"/>
              </a:solidFill>
              <a:latin typeface="Times New Roman"/>
            </a:defRPr>
          </a:pPr>
        </a:p>
      </c:txPr>
    </c:legend>
    <c:plotVisOnly val="1"/>
    <c:dispBlanksAs val="gap"/>
  </c:chart>
  <c:spPr>
    <a:solidFill>
      <a:srgbClr val="FFFFFF"/>
    </a:solidFill>
    <a:ln w="12700" cap="flat">
      <a:solidFill>
        <a:srgbClr val="D9D9D9"/>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roundedCorners val="0"/>
  <c:chart>
    <c:title>
      <c:tx>
        <c:rich>
          <a:bodyPr rot="0"/>
          <a:lstStyle/>
          <a:p>
            <a:pPr>
              <a:defRPr b="0" i="0" strike="noStrike" sz="1300" u="none">
                <a:solidFill>
                  <a:srgbClr val="595959"/>
                </a:solidFill>
                <a:latin typeface="Times New Roman"/>
              </a:defRPr>
            </a:pPr>
            <a:r>
              <a:rPr b="0" i="0" strike="noStrike" sz="1300" u="none">
                <a:solidFill>
                  <a:srgbClr val="595959"/>
                </a:solidFill>
                <a:latin typeface="Times New Roman"/>
              </a:rPr>
              <a:t>Comparison of Bank of America's Net Income to Peer Group</a:t>
            </a:r>
          </a:p>
        </c:rich>
      </c:tx>
      <c:layout>
        <c:manualLayout>
          <c:xMode val="edge"/>
          <c:yMode val="edge"/>
          <c:x val="0.149361"/>
          <c:y val="0"/>
          <c:w val="0.701278"/>
          <c:h val="0.13711"/>
        </c:manualLayout>
      </c:layout>
      <c:overlay val="1"/>
      <c:spPr>
        <a:noFill/>
        <a:effectLst/>
      </c:spPr>
    </c:title>
    <c:autoTitleDeleted val="1"/>
    <c:plotArea>
      <c:layout>
        <c:manualLayout>
          <c:layoutTarget val="inner"/>
          <c:xMode val="edge"/>
          <c:yMode val="edge"/>
          <c:x val="0.107186"/>
          <c:y val="0.13711"/>
          <c:w val="0.887814"/>
          <c:h val="0.474001"/>
        </c:manualLayout>
      </c:layout>
      <c:barChart>
        <c:barDir val="col"/>
        <c:grouping val="clustered"/>
        <c:varyColors val="0"/>
        <c:ser>
          <c:idx val="0"/>
          <c:order val="0"/>
          <c:tx>
            <c:strRef>
              <c:f>Sheet1!$A$2</c:f>
              <c:strCache>
                <c:ptCount val="1"/>
                <c:pt idx="0">
                  <c:v>Bank of America</c:v>
                </c:pt>
              </c:strCache>
            </c:strRef>
          </c:tx>
          <c:spPr>
            <a:gradFill flip="none" rotWithShape="1">
              <a:gsLst>
                <a:gs pos="0">
                  <a:srgbClr val="70A6DB"/>
                </a:gs>
                <a:gs pos="50000">
                  <a:srgbClr val="559BDB"/>
                </a:gs>
                <a:gs pos="100000">
                  <a:srgbClr val="448AC9"/>
                </a:gs>
              </a:gsLst>
              <a:lin ang="5400000" scaled="0"/>
            </a:gradFill>
            <a:ln w="12700" cap="flat">
              <a:noFill/>
              <a:miter lim="400000"/>
            </a:ln>
            <a:effectLst>
              <a:outerShdw sx="100000" sy="100000" kx="0" ky="0" algn="tl" rotWithShape="1" blurRad="63500" dist="19050" dir="5400000">
                <a:srgbClr val="000000">
                  <a:alpha val="63000"/>
                </a:srgbClr>
              </a:outerShdw>
            </a:effectLst>
          </c:spPr>
          <c:invertIfNegative val="0"/>
          <c:dLbls>
            <c:numFmt formatCode="0.##" sourceLinked="0"/>
            <c:txPr>
              <a:bodyPr/>
              <a:lstStyle/>
              <a:p>
                <a:pPr>
                  <a:defRPr b="0" i="0" strike="noStrike" sz="1100" u="none">
                    <a:solidFill>
                      <a:srgbClr val="000000"/>
                    </a:solidFill>
                    <a:latin typeface="Times New Roman"/>
                  </a:defRPr>
                </a:pPr>
              </a:p>
            </c:txPr>
            <c:dLblPos val="outEnd"/>
            <c:showLegendKey val="0"/>
            <c:showVal val="0"/>
            <c:showCatName val="0"/>
            <c:showSerName val="0"/>
            <c:showPercent val="0"/>
            <c:showBubbleSize val="0"/>
            <c:showLeaderLines val="0"/>
          </c:dLbls>
          <c:cat>
            <c:strRef>
              <c:f>Sheet1!$B$1:$F$1</c:f>
              <c:strCache>
                <c:ptCount val="5"/>
                <c:pt idx="0">
                  <c:v>2013</c:v>
                </c:pt>
                <c:pt idx="1">
                  <c:v>2014</c:v>
                </c:pt>
                <c:pt idx="2">
                  <c:v>2015</c:v>
                </c:pt>
                <c:pt idx="3">
                  <c:v>2016</c:v>
                </c:pt>
                <c:pt idx="4">
                  <c:v>2017</c:v>
                </c:pt>
              </c:strCache>
            </c:strRef>
          </c:cat>
          <c:val>
            <c:numRef>
              <c:f>Sheet1!$B$2:$F$2</c:f>
              <c:numCache>
                <c:ptCount val="5"/>
                <c:pt idx="0">
                  <c:v>1.160000</c:v>
                </c:pt>
                <c:pt idx="1">
                  <c:v>1.160000</c:v>
                </c:pt>
                <c:pt idx="2">
                  <c:v>1.190000</c:v>
                </c:pt>
                <c:pt idx="3">
                  <c:v>1.190000</c:v>
                </c:pt>
                <c:pt idx="4">
                  <c:v>1.240000</c:v>
                </c:pt>
              </c:numCache>
            </c:numRef>
          </c:val>
        </c:ser>
        <c:ser>
          <c:idx val="1"/>
          <c:order val="1"/>
          <c:tx>
            <c:strRef>
              <c:f>Sheet1!$A$3</c:f>
              <c:strCache>
                <c:ptCount val="1"/>
                <c:pt idx="0">
                  <c:v>Peer Group</c:v>
                </c:pt>
              </c:strCache>
            </c:strRef>
          </c:tx>
          <c:spPr>
            <a:gradFill flip="none" rotWithShape="1">
              <a:gsLst>
                <a:gs pos="0">
                  <a:srgbClr val="F18C54"/>
                </a:gs>
                <a:gs pos="50000">
                  <a:srgbClr val="F67B28"/>
                </a:gs>
                <a:gs pos="100000">
                  <a:srgbClr val="E46B19"/>
                </a:gs>
              </a:gsLst>
              <a:lin ang="5400000" scaled="0"/>
            </a:gradFill>
            <a:ln w="12700" cap="flat">
              <a:noFill/>
              <a:miter lim="400000"/>
            </a:ln>
            <a:effectLst>
              <a:outerShdw sx="100000" sy="100000" kx="0" ky="0" algn="tl" rotWithShape="1" blurRad="63500" dist="19050" dir="5400000">
                <a:srgbClr val="000000">
                  <a:alpha val="63000"/>
                </a:srgbClr>
              </a:outerShdw>
            </a:effectLst>
          </c:spPr>
          <c:invertIfNegative val="0"/>
          <c:dLbls>
            <c:numFmt formatCode="0.##" sourceLinked="0"/>
            <c:txPr>
              <a:bodyPr/>
              <a:lstStyle/>
              <a:p>
                <a:pPr>
                  <a:defRPr b="0" i="0" strike="noStrike" sz="1100" u="none">
                    <a:solidFill>
                      <a:srgbClr val="000000"/>
                    </a:solidFill>
                    <a:latin typeface="Times New Roman"/>
                  </a:defRPr>
                </a:pPr>
              </a:p>
            </c:txPr>
            <c:dLblPos val="outEnd"/>
            <c:showLegendKey val="0"/>
            <c:showVal val="0"/>
            <c:showCatName val="0"/>
            <c:showSerName val="0"/>
            <c:showPercent val="0"/>
            <c:showBubbleSize val="0"/>
            <c:showLeaderLines val="0"/>
          </c:dLbls>
          <c:cat>
            <c:strRef>
              <c:f>Sheet1!$B$1:$F$1</c:f>
              <c:strCache>
                <c:ptCount val="5"/>
                <c:pt idx="0">
                  <c:v>2013</c:v>
                </c:pt>
                <c:pt idx="1">
                  <c:v>2014</c:v>
                </c:pt>
                <c:pt idx="2">
                  <c:v>2015</c:v>
                </c:pt>
                <c:pt idx="3">
                  <c:v>2016</c:v>
                </c:pt>
                <c:pt idx="4">
                  <c:v>2017</c:v>
                </c:pt>
              </c:strCache>
            </c:strRef>
          </c:cat>
          <c:val>
            <c:numRef>
              <c:f>Sheet1!$B$3:$F$3</c:f>
              <c:numCache>
                <c:ptCount val="5"/>
                <c:pt idx="0">
                  <c:v>1.020000</c:v>
                </c:pt>
                <c:pt idx="1">
                  <c:v>0.980000</c:v>
                </c:pt>
                <c:pt idx="2">
                  <c:v>0.990000</c:v>
                </c:pt>
                <c:pt idx="3">
                  <c:v>1.020000</c:v>
                </c:pt>
                <c:pt idx="4">
                  <c:v>1.000000</c:v>
                </c:pt>
              </c:numCache>
            </c:numRef>
          </c:val>
        </c:ser>
        <c:gapWidth val="100"/>
        <c:overlap val="-24"/>
        <c:axId val="2094734552"/>
        <c:axId val="2094734553"/>
      </c:barChart>
      <c:catAx>
        <c:axId val="2094734552"/>
        <c:scaling>
          <c:orientation val="minMax"/>
        </c:scaling>
        <c:delete val="0"/>
        <c:axPos val="b"/>
        <c:title>
          <c:tx>
            <c:rich>
              <a:bodyPr rot="0"/>
              <a:lstStyle/>
              <a:p>
                <a:pPr>
                  <a:defRPr b="0" i="0" strike="noStrike" sz="1100" u="none">
                    <a:solidFill>
                      <a:srgbClr val="595959"/>
                    </a:solidFill>
                    <a:latin typeface="Times New Roman"/>
                  </a:defRPr>
                </a:pPr>
                <a:r>
                  <a:rPr b="0" i="0" strike="noStrike" sz="1100" u="none">
                    <a:solidFill>
                      <a:srgbClr val="595959"/>
                    </a:solidFill>
                    <a:latin typeface="Times New Roman"/>
                  </a:rPr>
                  <a:t>Year</a:t>
                </a:r>
              </a:p>
            </c:rich>
          </c:tx>
          <c:layout/>
          <c:overlay val="1"/>
        </c:title>
        <c:numFmt formatCode="General" sourceLinked="0"/>
        <c:majorTickMark val="none"/>
        <c:minorTickMark val="none"/>
        <c:tickLblPos val="low"/>
        <c:spPr>
          <a:ln w="12700" cap="flat">
            <a:solidFill>
              <a:srgbClr val="D9D9D9"/>
            </a:solidFill>
            <a:prstDash val="solid"/>
            <a:round/>
          </a:ln>
        </c:spPr>
        <c:txPr>
          <a:bodyPr rot="0"/>
          <a:lstStyle/>
          <a:p>
            <a:pPr>
              <a:defRPr b="0" i="0" strike="noStrike" sz="1100" u="none">
                <a:solidFill>
                  <a:srgbClr val="595959"/>
                </a:solidFill>
                <a:latin typeface="Times New Roman"/>
              </a:defRPr>
            </a:pPr>
          </a:p>
        </c:txPr>
        <c:crossAx val="2094734553"/>
        <c:crosses val="autoZero"/>
        <c:auto val="1"/>
        <c:lblAlgn val="ctr"/>
        <c:noMultiLvlLbl val="1"/>
      </c:catAx>
      <c:valAx>
        <c:axId val="2094734553"/>
        <c:scaling>
          <c:orientation val="minMax"/>
        </c:scaling>
        <c:delete val="0"/>
        <c:axPos val="l"/>
        <c:majorGridlines>
          <c:spPr>
            <a:ln w="12700" cap="flat">
              <a:solidFill>
                <a:srgbClr val="D9D9D9"/>
              </a:solidFill>
              <a:prstDash val="solid"/>
              <a:round/>
            </a:ln>
          </c:spPr>
        </c:majorGridlines>
        <c:title>
          <c:tx>
            <c:rich>
              <a:bodyPr rot="-5400000"/>
              <a:lstStyle/>
              <a:p>
                <a:pPr>
                  <a:defRPr b="0" i="0" strike="noStrike" sz="1100" u="none">
                    <a:solidFill>
                      <a:srgbClr val="595959"/>
                    </a:solidFill>
                    <a:latin typeface="Times New Roman"/>
                  </a:defRPr>
                </a:pPr>
                <a:r>
                  <a:rPr b="0" i="0" strike="noStrike" sz="1100" u="none">
                    <a:solidFill>
                      <a:srgbClr val="595959"/>
                    </a:solidFill>
                    <a:latin typeface="Times New Roman"/>
                  </a:rPr>
                  <a:t>Net Income Ratios</a:t>
                </a:r>
              </a:p>
            </c:rich>
          </c:tx>
          <c:layout/>
          <c:overlay val="1"/>
        </c:title>
        <c:numFmt formatCode="0.##" sourceLinked="0"/>
        <c:majorTickMark val="none"/>
        <c:minorTickMark val="none"/>
        <c:tickLblPos val="nextTo"/>
        <c:spPr>
          <a:ln w="12700" cap="flat">
            <a:noFill/>
            <a:prstDash val="solid"/>
            <a:round/>
          </a:ln>
        </c:spPr>
        <c:txPr>
          <a:bodyPr rot="0"/>
          <a:lstStyle/>
          <a:p>
            <a:pPr>
              <a:defRPr b="0" i="0" strike="noStrike" sz="1100" u="none">
                <a:solidFill>
                  <a:srgbClr val="595959"/>
                </a:solidFill>
                <a:latin typeface="Times New Roman"/>
              </a:defRPr>
            </a:pPr>
          </a:p>
        </c:txPr>
        <c:crossAx val="2094734552"/>
        <c:crosses val="autoZero"/>
        <c:crossBetween val="between"/>
        <c:majorUnit val="0.325"/>
        <c:minorUnit val="0.1625"/>
      </c:valAx>
      <c:spPr>
        <a:noFill/>
        <a:ln w="12700" cap="flat">
          <a:noFill/>
          <a:miter lim="400000"/>
        </a:ln>
        <a:effectLst/>
      </c:spPr>
    </c:plotArea>
    <c:legend>
      <c:legendPos val="b"/>
      <c:layout>
        <c:manualLayout>
          <c:xMode val="edge"/>
          <c:yMode val="edge"/>
          <c:x val="0.313786"/>
          <c:y val="0.870285"/>
          <c:w val="0.403881"/>
          <c:h val="0.129715"/>
        </c:manualLayout>
      </c:layout>
      <c:overlay val="1"/>
      <c:spPr>
        <a:noFill/>
        <a:ln w="12700" cap="flat">
          <a:noFill/>
          <a:miter lim="400000"/>
        </a:ln>
        <a:effectLst/>
      </c:spPr>
      <c:txPr>
        <a:bodyPr rot="0"/>
        <a:lstStyle/>
        <a:p>
          <a:pPr>
            <a:defRPr b="0" i="0" strike="noStrike" sz="1100" u="none">
              <a:solidFill>
                <a:srgbClr val="595959"/>
              </a:solidFill>
              <a:latin typeface="Times New Roman"/>
            </a:defRPr>
          </a:pPr>
        </a:p>
      </c:txPr>
    </c:legend>
    <c:plotVisOnly val="1"/>
    <c:dispBlanksAs val="gap"/>
  </c:chart>
  <c:spPr>
    <a:solidFill>
      <a:srgbClr val="FFFFFF"/>
    </a:solidFill>
    <a:ln w="12700" cap="flat">
      <a:solidFill>
        <a:srgbClr val="D9D9D9"/>
      </a:solidFill>
      <a:prstDash val="solid"/>
      <a:round/>
    </a:ln>
    <a:effectLst/>
  </c:spPr>
  <c:externalData r:id="rId1">
    <c:autoUpdate val="0"/>
  </c:externalData>
</c:chartSpace>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